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B47A5" w14:textId="77777777" w:rsidR="00DD2B7C" w:rsidRDefault="00DD2B7C">
      <w:pPr>
        <w:rPr>
          <w:lang w:val="en-US"/>
        </w:rPr>
      </w:pPr>
      <w:bookmarkStart w:id="0" w:name="_GoBack"/>
      <w:bookmarkEnd w:id="0"/>
    </w:p>
    <w:p w14:paraId="5A61224A" w14:textId="77777777" w:rsidR="00DD2B7C" w:rsidRDefault="00DD2B7C">
      <w:pPr>
        <w:rPr>
          <w:lang w:val="en-US"/>
        </w:rPr>
      </w:pPr>
    </w:p>
    <w:p w14:paraId="0C81D9BE" w14:textId="77777777" w:rsidR="00DD2B7C" w:rsidRDefault="00DD2B7C">
      <w:pPr>
        <w:rPr>
          <w:lang w:val="en-US"/>
        </w:rPr>
      </w:pPr>
    </w:p>
    <w:p w14:paraId="2C499739" w14:textId="77777777" w:rsidR="00DD2B7C" w:rsidRDefault="00DD2B7C">
      <w:pPr>
        <w:rPr>
          <w:lang w:val="en-US"/>
        </w:rPr>
      </w:pPr>
    </w:p>
    <w:p w14:paraId="6246AC6D" w14:textId="77777777" w:rsidR="00DD2B7C" w:rsidRDefault="00DD2B7C">
      <w:pPr>
        <w:rPr>
          <w:lang w:val="en-US"/>
        </w:rPr>
      </w:pPr>
    </w:p>
    <w:p w14:paraId="76865E33" w14:textId="02DB6F24" w:rsidR="00DD2B7C" w:rsidRDefault="00DD2B7C">
      <w:pPr>
        <w:rPr>
          <w:lang w:val="en-US"/>
        </w:rPr>
      </w:pPr>
    </w:p>
    <w:p w14:paraId="37435F31" w14:textId="77777777" w:rsidR="00DD2B7C" w:rsidRDefault="00DD2B7C">
      <w:pPr>
        <w:rPr>
          <w:lang w:val="en-US"/>
        </w:rPr>
      </w:pPr>
    </w:p>
    <w:p w14:paraId="639EDF71" w14:textId="77777777" w:rsidR="00DD2B7C" w:rsidRDefault="00DD2B7C">
      <w:pPr>
        <w:rPr>
          <w:lang w:val="en-US"/>
        </w:rPr>
      </w:pPr>
    </w:p>
    <w:p w14:paraId="472737EF" w14:textId="77777777" w:rsidR="00DD2B7C" w:rsidRDefault="00DD2B7C">
      <w:pPr>
        <w:rPr>
          <w:lang w:val="en-US"/>
        </w:rPr>
      </w:pPr>
    </w:p>
    <w:p w14:paraId="12077ED1" w14:textId="77777777" w:rsidR="00DD2B7C" w:rsidRDefault="00DD2B7C">
      <w:pPr>
        <w:rPr>
          <w:lang w:val="en-US"/>
        </w:rPr>
      </w:pPr>
    </w:p>
    <w:p w14:paraId="36FC065B" w14:textId="77777777" w:rsidR="00DD2B7C" w:rsidRDefault="00DD2B7C">
      <w:pPr>
        <w:rPr>
          <w:lang w:val="en-US"/>
        </w:rPr>
      </w:pPr>
    </w:p>
    <w:p w14:paraId="164904F7" w14:textId="77777777" w:rsidR="00DD2B7C" w:rsidRDefault="00DD2B7C">
      <w:pPr>
        <w:rPr>
          <w:lang w:val="en-US"/>
        </w:rPr>
      </w:pPr>
    </w:p>
    <w:p w14:paraId="42B2C99D" w14:textId="77777777" w:rsidR="00DD2B7C" w:rsidRDefault="00DD2B7C">
      <w:pPr>
        <w:rPr>
          <w:lang w:val="en-US"/>
        </w:rPr>
      </w:pPr>
    </w:p>
    <w:p w14:paraId="303961C2" w14:textId="13883D26" w:rsidR="00DD2B7C" w:rsidRDefault="0027484D" w:rsidP="00DD2B7C">
      <w:pPr>
        <w:jc w:val="center"/>
        <w:rPr>
          <w:lang w:val="en-US"/>
        </w:rPr>
      </w:pPr>
      <w:r w:rsidRPr="00DD2B7C">
        <w:rPr>
          <w:lang w:val="en-US"/>
        </w:rPr>
        <w:t>Supervisee Engagement</w:t>
      </w:r>
    </w:p>
    <w:p w14:paraId="6E72D90F" w14:textId="185B0220" w:rsidR="00DD2B7C" w:rsidRDefault="0027484D" w:rsidP="00DD2B7C">
      <w:pPr>
        <w:jc w:val="center"/>
        <w:rPr>
          <w:lang w:val="en-US"/>
        </w:rPr>
      </w:pPr>
      <w:r>
        <w:rPr>
          <w:lang w:val="en-US"/>
        </w:rPr>
        <w:t>Name</w:t>
      </w:r>
    </w:p>
    <w:p w14:paraId="6ED25A0D" w14:textId="5A36C975" w:rsidR="00DD2B7C" w:rsidRDefault="0027484D" w:rsidP="00DD2B7C">
      <w:pPr>
        <w:jc w:val="center"/>
        <w:rPr>
          <w:lang w:val="en-US"/>
        </w:rPr>
      </w:pPr>
      <w:r>
        <w:rPr>
          <w:lang w:val="en-US"/>
        </w:rPr>
        <w:t>Institution</w:t>
      </w:r>
    </w:p>
    <w:p w14:paraId="55B00F68" w14:textId="2EA7AD9A" w:rsidR="00DD2B7C" w:rsidRDefault="00DD2B7C">
      <w:pPr>
        <w:rPr>
          <w:lang w:val="en-US"/>
        </w:rPr>
      </w:pPr>
    </w:p>
    <w:p w14:paraId="71BBAC68" w14:textId="47D20C37" w:rsidR="00DD2B7C" w:rsidRDefault="00DD2B7C">
      <w:pPr>
        <w:rPr>
          <w:lang w:val="en-US"/>
        </w:rPr>
      </w:pPr>
    </w:p>
    <w:p w14:paraId="602B6C53" w14:textId="7CE79DE4" w:rsidR="00DD2B7C" w:rsidRDefault="00DD2B7C">
      <w:pPr>
        <w:rPr>
          <w:lang w:val="en-US"/>
        </w:rPr>
      </w:pPr>
    </w:p>
    <w:p w14:paraId="5CA129B0" w14:textId="2DC93A80" w:rsidR="00DD2B7C" w:rsidRDefault="00DD2B7C">
      <w:pPr>
        <w:rPr>
          <w:lang w:val="en-US"/>
        </w:rPr>
      </w:pPr>
    </w:p>
    <w:p w14:paraId="1BD61A1E" w14:textId="7FB4ADA9" w:rsidR="00DD2B7C" w:rsidRDefault="00DD2B7C">
      <w:pPr>
        <w:rPr>
          <w:lang w:val="en-US"/>
        </w:rPr>
      </w:pPr>
    </w:p>
    <w:p w14:paraId="51773882" w14:textId="65BFC6D7" w:rsidR="00DD2B7C" w:rsidRDefault="00DD2B7C">
      <w:pPr>
        <w:rPr>
          <w:lang w:val="en-US"/>
        </w:rPr>
      </w:pPr>
    </w:p>
    <w:p w14:paraId="093C0A5D" w14:textId="5F66469C" w:rsidR="00DD2B7C" w:rsidRDefault="00DD2B7C">
      <w:pPr>
        <w:rPr>
          <w:lang w:val="en-US"/>
        </w:rPr>
      </w:pPr>
    </w:p>
    <w:p w14:paraId="71AFAAAE" w14:textId="7B33D782" w:rsidR="00DD2B7C" w:rsidRDefault="00DD2B7C">
      <w:pPr>
        <w:rPr>
          <w:lang w:val="en-US"/>
        </w:rPr>
      </w:pPr>
    </w:p>
    <w:p w14:paraId="0EDF91A3" w14:textId="31E2D3FC" w:rsidR="00DD2B7C" w:rsidRDefault="00DD2B7C">
      <w:pPr>
        <w:rPr>
          <w:lang w:val="en-US"/>
        </w:rPr>
      </w:pPr>
    </w:p>
    <w:p w14:paraId="65EB461B" w14:textId="0DED78AA" w:rsidR="00DD2B7C" w:rsidRDefault="00DD2B7C">
      <w:pPr>
        <w:rPr>
          <w:lang w:val="en-US"/>
        </w:rPr>
      </w:pPr>
    </w:p>
    <w:p w14:paraId="6A3AD916" w14:textId="6EA71E32" w:rsidR="00DD2B7C" w:rsidRDefault="00DD2B7C">
      <w:pPr>
        <w:rPr>
          <w:lang w:val="en-US"/>
        </w:rPr>
      </w:pPr>
    </w:p>
    <w:p w14:paraId="1C3E5203" w14:textId="1DDCFBA8" w:rsidR="00DD2B7C" w:rsidRDefault="00DD2B7C">
      <w:pPr>
        <w:rPr>
          <w:lang w:val="en-US"/>
        </w:rPr>
      </w:pPr>
    </w:p>
    <w:p w14:paraId="41AF2935" w14:textId="77CCB389" w:rsidR="00DD2B7C" w:rsidRDefault="00DD2B7C">
      <w:pPr>
        <w:rPr>
          <w:lang w:val="en-US"/>
        </w:rPr>
      </w:pPr>
    </w:p>
    <w:p w14:paraId="03109472" w14:textId="77777777" w:rsidR="00DD2B7C" w:rsidRDefault="00DD2B7C">
      <w:pPr>
        <w:rPr>
          <w:lang w:val="en-US"/>
        </w:rPr>
      </w:pPr>
    </w:p>
    <w:p w14:paraId="79D64FF9" w14:textId="70FF31CC" w:rsidR="00DD2B7C" w:rsidRPr="00DD2B7C" w:rsidRDefault="0027484D" w:rsidP="00DD2B7C">
      <w:pPr>
        <w:spacing w:line="480" w:lineRule="auto"/>
        <w:jc w:val="both"/>
        <w:rPr>
          <w:b/>
          <w:bCs/>
          <w:lang w:val="en-US"/>
        </w:rPr>
      </w:pPr>
      <w:r w:rsidRPr="00DD2B7C">
        <w:rPr>
          <w:b/>
          <w:bCs/>
          <w:lang w:val="en-US"/>
        </w:rPr>
        <w:lastRenderedPageBreak/>
        <w:t xml:space="preserve">Supervisee selection </w:t>
      </w:r>
    </w:p>
    <w:p w14:paraId="123AB686" w14:textId="025B0B8A" w:rsidR="00580F73" w:rsidRDefault="0027484D" w:rsidP="00DD2B7C">
      <w:pPr>
        <w:spacing w:line="480" w:lineRule="auto"/>
        <w:ind w:firstLine="720"/>
        <w:jc w:val="both"/>
        <w:rPr>
          <w:lang w:val="en-US"/>
        </w:rPr>
      </w:pPr>
      <w:r>
        <w:rPr>
          <w:lang w:val="en-US"/>
        </w:rPr>
        <w:t>Counselors undergo significant tests which focus on creating a challenging environment under which it would be possible to implement positive measures which help improve their professional wellbeing. However, dealing with traumatic situations require an extra focus on critical processes which can help create a strong emphasis on the need to maintain professional boundaries. New counselors are at a higher risk of developing vicarious trauma due to inexperience and inability to identify better processes which can help improve their overall commitment</w:t>
      </w:r>
      <w:r w:rsidR="00DD2B7C">
        <w:rPr>
          <w:lang w:val="en-US"/>
        </w:rPr>
        <w:t xml:space="preserve"> (Chan et al., 2016).</w:t>
      </w:r>
      <w:r>
        <w:rPr>
          <w:lang w:val="en-US"/>
        </w:rPr>
        <w:t xml:space="preserve">  David is a graduate student who is completing his internship and thus has been exposed to an actual counselor situation where he has been performing psychosocial assessments and facilitating groups with violent domestic families. The experiences are expected to provide a better platform where David could build his professional development. He is under the care of his supervisor, who is likely to ensure that the new experience does not have a negative influence on his wellbeing. </w:t>
      </w:r>
    </w:p>
    <w:p w14:paraId="4708D719" w14:textId="1B38AE49" w:rsidR="006D7C76" w:rsidRDefault="0027484D" w:rsidP="00DD2B7C">
      <w:pPr>
        <w:spacing w:line="480" w:lineRule="auto"/>
        <w:ind w:firstLine="720"/>
        <w:jc w:val="both"/>
        <w:rPr>
          <w:lang w:val="en-US"/>
        </w:rPr>
      </w:pPr>
      <w:r>
        <w:rPr>
          <w:lang w:val="en-US"/>
        </w:rPr>
        <w:t xml:space="preserve">However, based on the issues raised in the case study, there are specific symptoms which associate David's behavior with the development of vicarious trauma. David has developed </w:t>
      </w:r>
      <w:r w:rsidR="00D60EE9">
        <w:rPr>
          <w:lang w:val="en-US"/>
        </w:rPr>
        <w:t>self-doubt</w:t>
      </w:r>
      <w:r>
        <w:rPr>
          <w:lang w:val="en-US"/>
        </w:rPr>
        <w:t xml:space="preserve"> and is currently struggling with trust and intimacy because of his increased association with abused individuals. He thinks that he is in a passive</w:t>
      </w:r>
      <w:r w:rsidR="00D60EE9">
        <w:rPr>
          <w:lang w:val="en-US"/>
        </w:rPr>
        <w:t>-aggressive</w:t>
      </w:r>
      <w:r>
        <w:rPr>
          <w:lang w:val="en-US"/>
        </w:rPr>
        <w:t xml:space="preserve"> relationship which has caused a strained relationship with his wife. David has become emotionally distant from his wife and colleagues due to these experiences.</w:t>
      </w:r>
      <w:r w:rsidR="00D60EE9">
        <w:rPr>
          <w:lang w:val="en-US"/>
        </w:rPr>
        <w:t xml:space="preserve"> These symptoms provide a different understanding where it is difficult to control individual wellbeing. David's interactions and personal relations have changed significantly since he took up his internship while he cites that he has been enlightened about his life and the need to maintain essential aspects that define his wellbeing. He does not have an idea that his relationships and personal wellbeing are being influenced by interacting with clients who are dealing with serious domestic violence issues. He puts himself in the shoes of his clients and considers himself to </w:t>
      </w:r>
      <w:r w:rsidR="00D60EE9">
        <w:rPr>
          <w:lang w:val="en-US"/>
        </w:rPr>
        <w:lastRenderedPageBreak/>
        <w:t>be in a passive-aggressive relationship, which creates a substantial limitation to his personal development.</w:t>
      </w:r>
    </w:p>
    <w:p w14:paraId="5CCB20B5" w14:textId="48605FA5" w:rsidR="00DD2B7C" w:rsidRPr="00DD2B7C" w:rsidRDefault="0027484D" w:rsidP="00DD2B7C">
      <w:pPr>
        <w:spacing w:line="480" w:lineRule="auto"/>
        <w:jc w:val="both"/>
        <w:rPr>
          <w:b/>
          <w:bCs/>
          <w:lang w:val="en-US"/>
        </w:rPr>
      </w:pPr>
      <w:r w:rsidRPr="00DD2B7C">
        <w:rPr>
          <w:b/>
          <w:bCs/>
          <w:lang w:val="en-US"/>
        </w:rPr>
        <w:t xml:space="preserve">How you might approach the individual as a peer to call her or his attention to this potential impairment. </w:t>
      </w:r>
    </w:p>
    <w:p w14:paraId="3E764742" w14:textId="0065CF37" w:rsidR="00D60EE9" w:rsidRDefault="0027484D" w:rsidP="00DD2B7C">
      <w:pPr>
        <w:spacing w:line="480" w:lineRule="auto"/>
        <w:ind w:firstLine="720"/>
        <w:jc w:val="both"/>
        <w:rPr>
          <w:lang w:val="en-US"/>
        </w:rPr>
      </w:pPr>
      <w:r>
        <w:rPr>
          <w:lang w:val="en-US"/>
        </w:rPr>
        <w:t>I would focus on creating a better interactive environment through highlighting my experiences which are close to his to build a positive rapport under which a positive relationship can ensue and help maintain a unique level of engagement. Establishing trust with David is crucial, and thus, my initial communication will aim at creating an inclusive environment under which it would be possible to manage behavioral and emotional changes</w:t>
      </w:r>
      <w:r w:rsidR="00DD2B7C">
        <w:rPr>
          <w:lang w:val="en-US"/>
        </w:rPr>
        <w:t xml:space="preserve"> (Frey et al., 2017). </w:t>
      </w:r>
      <w:r>
        <w:rPr>
          <w:lang w:val="en-US"/>
        </w:rPr>
        <w:t>Getting David to confess that he is having a different perception towards life since he began his internship is crucial in improving his professional development. There is a need to maintain a substantial limitation between professional development and personal wellbeing. Thus understanding the difference will help support better relationships. I will ensure that David follows the underlying ethical guidelines that govern counselor while ensuring that there is a better emphasis on essential aspects which help improve overall individual development.</w:t>
      </w:r>
    </w:p>
    <w:p w14:paraId="7CFA3E02" w14:textId="092656C6" w:rsidR="00DD2B7C" w:rsidRPr="00DD2B7C" w:rsidRDefault="0027484D" w:rsidP="00DD2B7C">
      <w:pPr>
        <w:spacing w:line="480" w:lineRule="auto"/>
        <w:jc w:val="both"/>
        <w:rPr>
          <w:b/>
          <w:bCs/>
          <w:lang w:val="en-US"/>
        </w:rPr>
      </w:pPr>
      <w:r w:rsidRPr="00DD2B7C">
        <w:rPr>
          <w:b/>
          <w:bCs/>
          <w:lang w:val="en-US"/>
        </w:rPr>
        <w:t>Two self-care strategies this supervisee could address her or his impairment</w:t>
      </w:r>
    </w:p>
    <w:p w14:paraId="72A593F5" w14:textId="0E4B61F9" w:rsidR="00DD2B7C" w:rsidRDefault="0027484D" w:rsidP="00DD2B7C">
      <w:pPr>
        <w:spacing w:line="480" w:lineRule="auto"/>
        <w:ind w:firstLine="720"/>
        <w:jc w:val="both"/>
        <w:rPr>
          <w:lang w:val="en-US"/>
        </w:rPr>
      </w:pPr>
      <w:r>
        <w:rPr>
          <w:lang w:val="en-US"/>
        </w:rPr>
        <w:t>Self-care approaches are essential in helping define a secure environment where an individual can understand specific factors that are associated with increased behavioral changes. Individual behavioral development requires a strong emphasis on particular elements which help create a unique level of professional development. Self-care approaches that would crucial in this case include adequate recreation and sleep, which provide a strong emphasis on underlying differences. Participating in outdoor activities which can help create a different thought is crucial because they help an individual in realizing the difference between professional and personal wellbeing (</w:t>
      </w:r>
      <w:r w:rsidRPr="00DD2B7C">
        <w:t>Pack, 2014).</w:t>
      </w:r>
    </w:p>
    <w:p w14:paraId="783DB046" w14:textId="1EDBA08E" w:rsidR="00DD2B7C" w:rsidRDefault="00DD2B7C">
      <w:pPr>
        <w:rPr>
          <w:lang w:val="en-US"/>
        </w:rPr>
      </w:pPr>
    </w:p>
    <w:p w14:paraId="6AAB2B05" w14:textId="439E4AF0" w:rsidR="00DD2B7C" w:rsidRDefault="00DD2B7C">
      <w:pPr>
        <w:rPr>
          <w:lang w:val="en-US"/>
        </w:rPr>
      </w:pPr>
    </w:p>
    <w:p w14:paraId="2AADB726" w14:textId="6557FE1A" w:rsidR="00DD2B7C" w:rsidRDefault="00DD2B7C">
      <w:pPr>
        <w:rPr>
          <w:lang w:val="en-US"/>
        </w:rPr>
      </w:pPr>
    </w:p>
    <w:p w14:paraId="7BBC085A" w14:textId="77996DE3" w:rsidR="00DD2B7C" w:rsidRDefault="00DD2B7C">
      <w:pPr>
        <w:rPr>
          <w:lang w:val="en-US"/>
        </w:rPr>
      </w:pPr>
    </w:p>
    <w:p w14:paraId="54198DC8" w14:textId="73611648" w:rsidR="00DD2B7C" w:rsidRDefault="00DD2B7C">
      <w:pPr>
        <w:rPr>
          <w:lang w:val="en-US"/>
        </w:rPr>
      </w:pPr>
    </w:p>
    <w:p w14:paraId="6EA0C62F" w14:textId="28DFE6FF" w:rsidR="00DD2B7C" w:rsidRDefault="00DD2B7C">
      <w:pPr>
        <w:rPr>
          <w:lang w:val="en-US"/>
        </w:rPr>
      </w:pPr>
    </w:p>
    <w:p w14:paraId="30AD8A19" w14:textId="0C97A32C" w:rsidR="00DD2B7C" w:rsidRDefault="00DD2B7C">
      <w:pPr>
        <w:rPr>
          <w:lang w:val="en-US"/>
        </w:rPr>
      </w:pPr>
    </w:p>
    <w:p w14:paraId="305B8A67" w14:textId="42D96CD5" w:rsidR="00DD2B7C" w:rsidRDefault="00DD2B7C">
      <w:pPr>
        <w:rPr>
          <w:lang w:val="en-US"/>
        </w:rPr>
      </w:pPr>
    </w:p>
    <w:p w14:paraId="2A30F1EF" w14:textId="32BE2D66" w:rsidR="00DD2B7C" w:rsidRDefault="00DD2B7C">
      <w:pPr>
        <w:rPr>
          <w:lang w:val="en-US"/>
        </w:rPr>
      </w:pPr>
    </w:p>
    <w:p w14:paraId="44E07826" w14:textId="726E1854" w:rsidR="00DD2B7C" w:rsidRDefault="00DD2B7C">
      <w:pPr>
        <w:rPr>
          <w:lang w:val="en-US"/>
        </w:rPr>
      </w:pPr>
    </w:p>
    <w:p w14:paraId="04A83625" w14:textId="4431E502" w:rsidR="00DD2B7C" w:rsidRDefault="00DD2B7C">
      <w:pPr>
        <w:rPr>
          <w:lang w:val="en-US"/>
        </w:rPr>
      </w:pPr>
    </w:p>
    <w:p w14:paraId="492B6713" w14:textId="211E2C94" w:rsidR="00DD2B7C" w:rsidRDefault="00DD2B7C">
      <w:pPr>
        <w:rPr>
          <w:lang w:val="en-US"/>
        </w:rPr>
      </w:pPr>
    </w:p>
    <w:p w14:paraId="1DA0FA17" w14:textId="43A71368" w:rsidR="00DD2B7C" w:rsidRDefault="00DD2B7C">
      <w:pPr>
        <w:rPr>
          <w:lang w:val="en-US"/>
        </w:rPr>
      </w:pPr>
    </w:p>
    <w:p w14:paraId="7BA04875" w14:textId="4F089BE0" w:rsidR="00DD2B7C" w:rsidRDefault="00DD2B7C">
      <w:pPr>
        <w:rPr>
          <w:lang w:val="en-US"/>
        </w:rPr>
      </w:pPr>
    </w:p>
    <w:p w14:paraId="1850C575" w14:textId="6DB3CE40" w:rsidR="00DD2B7C" w:rsidRDefault="00DD2B7C">
      <w:pPr>
        <w:rPr>
          <w:lang w:val="en-US"/>
        </w:rPr>
      </w:pPr>
    </w:p>
    <w:p w14:paraId="25FC68A9" w14:textId="5F47D52A" w:rsidR="00DD2B7C" w:rsidRDefault="00DD2B7C">
      <w:pPr>
        <w:rPr>
          <w:lang w:val="en-US"/>
        </w:rPr>
      </w:pPr>
    </w:p>
    <w:p w14:paraId="61C987D2" w14:textId="0B6C5BC8" w:rsidR="00DD2B7C" w:rsidRDefault="00DD2B7C">
      <w:pPr>
        <w:rPr>
          <w:lang w:val="en-US"/>
        </w:rPr>
      </w:pPr>
    </w:p>
    <w:p w14:paraId="5709CEFD" w14:textId="2E5696C1" w:rsidR="00DD2B7C" w:rsidRDefault="00DD2B7C">
      <w:pPr>
        <w:rPr>
          <w:lang w:val="en-US"/>
        </w:rPr>
      </w:pPr>
    </w:p>
    <w:p w14:paraId="4AE23198" w14:textId="629578FF" w:rsidR="00DD2B7C" w:rsidRDefault="00DD2B7C">
      <w:pPr>
        <w:rPr>
          <w:lang w:val="en-US"/>
        </w:rPr>
      </w:pPr>
    </w:p>
    <w:p w14:paraId="1B4FB43E" w14:textId="5BC26DB0" w:rsidR="00DD2B7C" w:rsidRDefault="00DD2B7C">
      <w:pPr>
        <w:rPr>
          <w:lang w:val="en-US"/>
        </w:rPr>
      </w:pPr>
    </w:p>
    <w:p w14:paraId="4CF6D77F" w14:textId="34B605D1" w:rsidR="00DD2B7C" w:rsidRDefault="00DD2B7C">
      <w:pPr>
        <w:rPr>
          <w:lang w:val="en-US"/>
        </w:rPr>
      </w:pPr>
    </w:p>
    <w:p w14:paraId="460A053B" w14:textId="09778E44" w:rsidR="00DD2B7C" w:rsidRDefault="00DD2B7C">
      <w:pPr>
        <w:rPr>
          <w:lang w:val="en-US"/>
        </w:rPr>
      </w:pPr>
    </w:p>
    <w:p w14:paraId="4A997469" w14:textId="7C13B256" w:rsidR="00DD2B7C" w:rsidRDefault="00DD2B7C">
      <w:pPr>
        <w:rPr>
          <w:lang w:val="en-US"/>
        </w:rPr>
      </w:pPr>
    </w:p>
    <w:p w14:paraId="1AAD976A" w14:textId="10966EE4" w:rsidR="00DD2B7C" w:rsidRDefault="00DD2B7C">
      <w:pPr>
        <w:rPr>
          <w:lang w:val="en-US"/>
        </w:rPr>
      </w:pPr>
    </w:p>
    <w:p w14:paraId="7628C8D6" w14:textId="15ADB9CC" w:rsidR="00DD2B7C" w:rsidRDefault="00DD2B7C">
      <w:pPr>
        <w:rPr>
          <w:lang w:val="en-US"/>
        </w:rPr>
      </w:pPr>
    </w:p>
    <w:p w14:paraId="44BD8AEB" w14:textId="368741F9" w:rsidR="00DD2B7C" w:rsidRDefault="00DD2B7C">
      <w:pPr>
        <w:rPr>
          <w:lang w:val="en-US"/>
        </w:rPr>
      </w:pPr>
    </w:p>
    <w:p w14:paraId="7DFAB6CF" w14:textId="16441CBC" w:rsidR="00DD2B7C" w:rsidRDefault="00DD2B7C">
      <w:pPr>
        <w:rPr>
          <w:lang w:val="en-US"/>
        </w:rPr>
      </w:pPr>
    </w:p>
    <w:p w14:paraId="4E0F23C0" w14:textId="77777777" w:rsidR="00DD2B7C" w:rsidRDefault="00DD2B7C">
      <w:pPr>
        <w:rPr>
          <w:lang w:val="en-US"/>
        </w:rPr>
      </w:pPr>
    </w:p>
    <w:p w14:paraId="2FD7916A" w14:textId="35DB5338" w:rsidR="00DD2B7C" w:rsidRDefault="0027484D" w:rsidP="00DD2B7C">
      <w:pPr>
        <w:jc w:val="center"/>
        <w:rPr>
          <w:lang w:val="en-US"/>
        </w:rPr>
      </w:pPr>
      <w:r>
        <w:rPr>
          <w:lang w:val="en-US"/>
        </w:rPr>
        <w:t>References</w:t>
      </w:r>
    </w:p>
    <w:p w14:paraId="4C373AD4" w14:textId="77777777" w:rsidR="00DD2B7C" w:rsidRPr="00DD2B7C" w:rsidRDefault="0027484D" w:rsidP="00DD2B7C">
      <w:pPr>
        <w:spacing w:line="480" w:lineRule="auto"/>
        <w:ind w:left="720" w:hanging="720"/>
      </w:pPr>
      <w:r w:rsidRPr="00DD2B7C">
        <w:lastRenderedPageBreak/>
        <w:t>Chan, K. J., Young, M. Y., &amp; Sharif, N. (2016). Well-being after trauma: A review of posttraumatic growth among refugees. </w:t>
      </w:r>
      <w:r w:rsidRPr="00DD2B7C">
        <w:rPr>
          <w:i/>
          <w:iCs/>
        </w:rPr>
        <w:t>Canadian Psychology/psychologie canadienne</w:t>
      </w:r>
      <w:r w:rsidRPr="00DD2B7C">
        <w:t>, </w:t>
      </w:r>
      <w:r w:rsidRPr="00DD2B7C">
        <w:rPr>
          <w:i/>
          <w:iCs/>
        </w:rPr>
        <w:t>57</w:t>
      </w:r>
      <w:r w:rsidRPr="00DD2B7C">
        <w:t>(4), 291.</w:t>
      </w:r>
    </w:p>
    <w:p w14:paraId="7DD8B6B2" w14:textId="77777777" w:rsidR="00DD2B7C" w:rsidRDefault="0027484D" w:rsidP="00DD2B7C">
      <w:pPr>
        <w:spacing w:line="480" w:lineRule="auto"/>
        <w:ind w:left="720" w:hanging="720"/>
      </w:pPr>
      <w:r w:rsidRPr="00DD2B7C">
        <w:t>Frey, L. L., Beesley, D., Abbott, D., &amp; Kendrick, E. (2017). Vicarious resilience in sexual assault and domestic violence advocates. </w:t>
      </w:r>
      <w:r w:rsidRPr="00DD2B7C">
        <w:rPr>
          <w:i/>
          <w:iCs/>
        </w:rPr>
        <w:t>Psychological Trauma: Theory, Research, Practice, and Policy</w:t>
      </w:r>
      <w:r w:rsidRPr="00DD2B7C">
        <w:t>, </w:t>
      </w:r>
      <w:r w:rsidRPr="00DD2B7C">
        <w:rPr>
          <w:i/>
          <w:iCs/>
        </w:rPr>
        <w:t>9</w:t>
      </w:r>
      <w:r w:rsidRPr="00DD2B7C">
        <w:t>(1), 44.</w:t>
      </w:r>
    </w:p>
    <w:p w14:paraId="7DE5C924" w14:textId="77777777" w:rsidR="00DD2B7C" w:rsidRDefault="0027484D" w:rsidP="00DD2B7C">
      <w:pPr>
        <w:spacing w:line="480" w:lineRule="auto"/>
        <w:ind w:left="720" w:hanging="720"/>
      </w:pPr>
      <w:r w:rsidRPr="00DD2B7C">
        <w:t>Pack, M. (2014). Vicarious resilience: A multilayered model of stress and trauma. </w:t>
      </w:r>
      <w:r w:rsidRPr="00DD2B7C">
        <w:rPr>
          <w:i/>
          <w:iCs/>
        </w:rPr>
        <w:t>Affilia</w:t>
      </w:r>
      <w:r w:rsidRPr="00DD2B7C">
        <w:t>, </w:t>
      </w:r>
      <w:r w:rsidRPr="00DD2B7C">
        <w:rPr>
          <w:i/>
          <w:iCs/>
        </w:rPr>
        <w:t>29</w:t>
      </w:r>
      <w:r w:rsidRPr="00DD2B7C">
        <w:t>(1), 18-29.</w:t>
      </w:r>
    </w:p>
    <w:p w14:paraId="74C6D377" w14:textId="77777777" w:rsidR="00DD2B7C" w:rsidRDefault="00DD2B7C"/>
    <w:p w14:paraId="0610C4A0" w14:textId="77777777" w:rsidR="00DD2B7C" w:rsidRDefault="00DD2B7C">
      <w:pPr>
        <w:rPr>
          <w:lang w:val="en-US"/>
        </w:rPr>
      </w:pPr>
    </w:p>
    <w:p w14:paraId="639A4150" w14:textId="77777777" w:rsidR="00D60EE9" w:rsidRPr="006D7C76" w:rsidRDefault="00D60EE9">
      <w:pPr>
        <w:rPr>
          <w:lang w:val="en-US"/>
        </w:rPr>
      </w:pPr>
    </w:p>
    <w:sectPr w:rsidR="00D60EE9" w:rsidRPr="006D7C76" w:rsidSect="00DD2B7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38DC4" w14:textId="77777777" w:rsidR="00CD78F1" w:rsidRDefault="00CD78F1">
      <w:pPr>
        <w:spacing w:after="0" w:line="240" w:lineRule="auto"/>
      </w:pPr>
      <w:r>
        <w:separator/>
      </w:r>
    </w:p>
  </w:endnote>
  <w:endnote w:type="continuationSeparator" w:id="0">
    <w:p w14:paraId="520971B4" w14:textId="77777777" w:rsidR="00CD78F1" w:rsidRDefault="00CD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1586E" w14:textId="77777777" w:rsidR="00CD78F1" w:rsidRDefault="00CD78F1">
      <w:pPr>
        <w:spacing w:after="0" w:line="240" w:lineRule="auto"/>
      </w:pPr>
      <w:r>
        <w:separator/>
      </w:r>
    </w:p>
  </w:footnote>
  <w:footnote w:type="continuationSeparator" w:id="0">
    <w:p w14:paraId="1DEFBD16" w14:textId="77777777" w:rsidR="00CD78F1" w:rsidRDefault="00CD7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DB631" w14:textId="69F12051" w:rsidR="00DD2B7C" w:rsidRDefault="0027484D">
    <w:pPr>
      <w:pStyle w:val="Header"/>
      <w:jc w:val="right"/>
    </w:pPr>
    <w:r w:rsidRPr="00DD2B7C">
      <w:rPr>
        <w:lang w:val="en-US"/>
      </w:rPr>
      <w:t xml:space="preserve">SUPERVISEE ENGAGEMENT   </w:t>
    </w:r>
    <w:r>
      <w:rPr>
        <w:lang w:val="en-US"/>
      </w:rPr>
      <w:t xml:space="preserve">                                                                                          </w:t>
    </w:r>
    <w:sdt>
      <w:sdtPr>
        <w:id w:val="1866247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4F1937" w14:textId="77777777" w:rsidR="00DD2B7C" w:rsidRDefault="00DD2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E9008" w14:textId="781F5AE8" w:rsidR="00DD2B7C" w:rsidRDefault="0027484D">
    <w:pPr>
      <w:pStyle w:val="Header"/>
      <w:jc w:val="right"/>
    </w:pPr>
    <w:r>
      <w:rPr>
        <w:lang w:val="en-US"/>
      </w:rPr>
      <w:t xml:space="preserve">Running head: SUPERVISEE ENGAGEMENT                                                                     </w:t>
    </w:r>
    <w:sdt>
      <w:sdtPr>
        <w:id w:val="474720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128253" w14:textId="77777777" w:rsidR="00DD2B7C" w:rsidRDefault="00DD2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1tDA1NzM3srQ0MjVS0lEKTi0uzszPAykwrAUAfry0WCwAAAA="/>
  </w:docVars>
  <w:rsids>
    <w:rsidRoot w:val="006D7C76"/>
    <w:rsid w:val="0027484D"/>
    <w:rsid w:val="0037115A"/>
    <w:rsid w:val="00580F73"/>
    <w:rsid w:val="006D7C76"/>
    <w:rsid w:val="00CD353D"/>
    <w:rsid w:val="00CD78F1"/>
    <w:rsid w:val="00D60EE9"/>
    <w:rsid w:val="00DD2B7C"/>
    <w:rsid w:val="00E00E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003B8-0FBF-4149-A05B-B8092061F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B7C"/>
  </w:style>
  <w:style w:type="paragraph" w:styleId="Footer">
    <w:name w:val="footer"/>
    <w:basedOn w:val="Normal"/>
    <w:link w:val="FooterChar"/>
    <w:uiPriority w:val="99"/>
    <w:unhideWhenUsed/>
    <w:rsid w:val="00DD2B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2019-07-02T05:23:00Z</dcterms:created>
  <dcterms:modified xsi:type="dcterms:W3CDTF">2019-07-02T05:23:00Z</dcterms:modified>
</cp:coreProperties>
</file>